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59" w:rsidRDefault="00475059" w:rsidP="00475059"/>
    <w:p w:rsidR="00475059" w:rsidRDefault="00A5197B" w:rsidP="00475059">
      <w:pPr>
        <w:jc w:val="right"/>
        <w:rPr>
          <w:sz w:val="28"/>
          <w:szCs w:val="28"/>
        </w:rPr>
      </w:pPr>
      <w:bookmarkStart w:id="0" w:name="_GoBack"/>
      <w:bookmarkEnd w:id="0"/>
      <w:r w:rsidRPr="00A519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475059" w:rsidRDefault="00475059" w:rsidP="004750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75059">
        <w:rPr>
          <w:sz w:val="28"/>
          <w:szCs w:val="28"/>
        </w:rPr>
        <w:t>Приложение №1</w:t>
      </w:r>
    </w:p>
    <w:p w:rsidR="00475059" w:rsidRDefault="00475059" w:rsidP="0047505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475059" w:rsidRDefault="00475059" w:rsidP="004750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930 </w:t>
      </w:r>
    </w:p>
    <w:p w:rsidR="00475059" w:rsidRDefault="00475059" w:rsidP="00475059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475059" w:rsidRDefault="00475059" w:rsidP="00475059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>» на 2015 год</w:t>
      </w:r>
    </w:p>
    <w:p w:rsidR="00475059" w:rsidRDefault="00475059" w:rsidP="00475059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/>
      </w:tblPr>
      <w:tblGrid>
        <w:gridCol w:w="499"/>
        <w:gridCol w:w="8283"/>
        <w:gridCol w:w="1497"/>
      </w:tblGrid>
      <w:tr w:rsidR="00475059" w:rsidTr="00232CAC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059" w:rsidRDefault="00475059" w:rsidP="00232CAC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059" w:rsidRDefault="00475059" w:rsidP="00232CAC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5059" w:rsidRDefault="00475059" w:rsidP="00232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75059" w:rsidTr="00232CAC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475059" w:rsidTr="00232CAC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475059" w:rsidRDefault="00475059" w:rsidP="00475059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475059" w:rsidRPr="004A5490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Pr="004A5490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lastRenderedPageBreak/>
        <w:t xml:space="preserve"> 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Приложение № 2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к постановлению региональной энергетической комиссии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>18</w:t>
      </w:r>
      <w:r w:rsidRPr="00475059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930</w:t>
      </w:r>
    </w:p>
    <w:p w:rsidR="00475059" w:rsidRPr="00475059" w:rsidRDefault="00475059" w:rsidP="00475059">
      <w:pPr>
        <w:jc w:val="right"/>
        <w:rPr>
          <w:sz w:val="28"/>
          <w:szCs w:val="28"/>
        </w:rPr>
      </w:pPr>
    </w:p>
    <w:p w:rsidR="00475059" w:rsidRPr="00475059" w:rsidRDefault="00475059" w:rsidP="00475059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475059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475059">
        <w:rPr>
          <w:rFonts w:eastAsia="font264"/>
          <w:sz w:val="28"/>
          <w:szCs w:val="28"/>
        </w:rPr>
        <w:t>Вт вкл</w:t>
      </w:r>
      <w:proofErr w:type="gramEnd"/>
      <w:r w:rsidRPr="00475059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ООО «</w:t>
      </w:r>
      <w:proofErr w:type="spellStart"/>
      <w:r w:rsidRPr="00475059">
        <w:rPr>
          <w:rFonts w:eastAsia="font264"/>
          <w:sz w:val="28"/>
          <w:szCs w:val="28"/>
        </w:rPr>
        <w:t>Горэлектросеть</w:t>
      </w:r>
      <w:proofErr w:type="spellEnd"/>
      <w:r w:rsidRPr="00475059">
        <w:rPr>
          <w:rFonts w:eastAsia="font264"/>
          <w:sz w:val="28"/>
          <w:szCs w:val="28"/>
        </w:rPr>
        <w:t>»</w:t>
      </w:r>
      <w:r w:rsidRPr="00475059">
        <w:rPr>
          <w:rFonts w:ascii="Calibri" w:eastAsia="font264" w:hAnsi="Calibri"/>
          <w:color w:val="000000"/>
        </w:rPr>
        <w:t xml:space="preserve"> </w:t>
      </w:r>
      <w:r w:rsidRPr="00475059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/>
      </w:tblPr>
      <w:tblGrid>
        <w:gridCol w:w="493"/>
        <w:gridCol w:w="8204"/>
        <w:gridCol w:w="1482"/>
      </w:tblGrid>
      <w:tr w:rsidR="00475059" w:rsidRPr="00475059" w:rsidTr="00232CAC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jc w:val="right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тыс. руб.</w:t>
            </w:r>
          </w:p>
        </w:tc>
      </w:tr>
      <w:tr w:rsidR="00475059" w:rsidRPr="00475059" w:rsidTr="00232CAC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Утверждено РЭК</w:t>
            </w:r>
          </w:p>
        </w:tc>
      </w:tr>
      <w:tr w:rsidR="00475059" w:rsidRPr="00475059" w:rsidTr="00232CAC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3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3 470,41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148,69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Выпадающие доходы/экономия средств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-1 965,86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1 355,86</w:t>
            </w:r>
          </w:p>
        </w:tc>
      </w:tr>
    </w:tbl>
    <w:p w:rsidR="00475059" w:rsidRPr="00475059" w:rsidRDefault="00475059" w:rsidP="00475059">
      <w:pPr>
        <w:rPr>
          <w:rFonts w:ascii="font264" w:eastAsia="font264" w:hAnsi="font264"/>
        </w:rPr>
      </w:pPr>
    </w:p>
    <w:p w:rsidR="00475059" w:rsidRDefault="00475059" w:rsidP="00475059">
      <w:pPr>
        <w:spacing w:line="216" w:lineRule="auto"/>
        <w:jc w:val="both"/>
      </w:pPr>
    </w:p>
    <w:p w:rsidR="00475059" w:rsidRPr="00475059" w:rsidRDefault="00475059" w:rsidP="00475059"/>
    <w:sectPr w:rsidR="00475059" w:rsidRPr="00475059" w:rsidSect="00CB15E7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ont264">
    <w:altName w:val="Tahoma"/>
    <w:panose1 w:val="02020603050405020304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3E7A"/>
    <w:rsid w:val="00122B4B"/>
    <w:rsid w:val="001B3794"/>
    <w:rsid w:val="00213CC6"/>
    <w:rsid w:val="0028328F"/>
    <w:rsid w:val="003760BE"/>
    <w:rsid w:val="003A46D1"/>
    <w:rsid w:val="003B0691"/>
    <w:rsid w:val="00475059"/>
    <w:rsid w:val="004D5A77"/>
    <w:rsid w:val="00533CB2"/>
    <w:rsid w:val="00584ADA"/>
    <w:rsid w:val="006376E0"/>
    <w:rsid w:val="006D42E4"/>
    <w:rsid w:val="00730C38"/>
    <w:rsid w:val="007344E3"/>
    <w:rsid w:val="009C1D99"/>
    <w:rsid w:val="00A44738"/>
    <w:rsid w:val="00A5197B"/>
    <w:rsid w:val="00CB15E7"/>
    <w:rsid w:val="00CC7287"/>
    <w:rsid w:val="00E04CB8"/>
    <w:rsid w:val="00E05B5B"/>
    <w:rsid w:val="00F34DC9"/>
    <w:rsid w:val="00F5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Лайвина-юс</cp:lastModifiedBy>
  <cp:revision>2</cp:revision>
  <dcterms:created xsi:type="dcterms:W3CDTF">2014-12-29T06:40:00Z</dcterms:created>
  <dcterms:modified xsi:type="dcterms:W3CDTF">2014-12-29T06:40:00Z</dcterms:modified>
</cp:coreProperties>
</file>